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FF571" w14:textId="77777777" w:rsidR="00B13BD2" w:rsidRDefault="00B13BD2" w:rsidP="00F36794">
      <w:pPr>
        <w:pStyle w:val="Heading1"/>
      </w:pPr>
      <w:bookmarkStart w:id="0" w:name="_Toc9496468"/>
      <w:bookmarkStart w:id="1" w:name="_Toc9495637"/>
      <w:bookmarkStart w:id="2" w:name="_Toc8050341"/>
      <w:bookmarkStart w:id="3" w:name="_Toc8050082"/>
      <w:r>
        <w:t>VR Services Manual E-300: Case Note Requirements</w:t>
      </w:r>
      <w:bookmarkEnd w:id="0"/>
      <w:bookmarkEnd w:id="1"/>
      <w:bookmarkEnd w:id="2"/>
      <w:bookmarkEnd w:id="3"/>
    </w:p>
    <w:p w14:paraId="0937B4C4" w14:textId="77777777" w:rsidR="00C47A40" w:rsidRDefault="00C47A40" w:rsidP="00F36794">
      <w:r w:rsidRPr="00F36794">
        <w:t xml:space="preserve">Revised on </w:t>
      </w:r>
      <w:r w:rsidR="000133C5">
        <w:t>February 3</w:t>
      </w:r>
      <w:r w:rsidRPr="00F36794">
        <w:t>, 2020</w:t>
      </w:r>
    </w:p>
    <w:tbl>
      <w:tblPr>
        <w:tblStyle w:val="TableGridLight"/>
        <w:tblW w:w="5000" w:type="pct"/>
        <w:tblLook w:val="04A0" w:firstRow="1" w:lastRow="0" w:firstColumn="1" w:lastColumn="0" w:noHBand="0" w:noVBand="1"/>
      </w:tblPr>
      <w:tblGrid>
        <w:gridCol w:w="1948"/>
        <w:gridCol w:w="1401"/>
        <w:gridCol w:w="4967"/>
        <w:gridCol w:w="1034"/>
      </w:tblGrid>
      <w:tr w:rsidR="00B13BD2" w:rsidRPr="006B2D48" w14:paraId="64E753F4" w14:textId="77777777" w:rsidTr="006B2D48">
        <w:trPr>
          <w:trHeight w:val="360"/>
          <w:tblHeader/>
        </w:trPr>
        <w:tc>
          <w:tcPr>
            <w:tcW w:w="1042" w:type="pct"/>
            <w:hideMark/>
          </w:tcPr>
          <w:p w14:paraId="5E3ABFB9" w14:textId="77777777" w:rsidR="00B13BD2" w:rsidRPr="006B2D48" w:rsidRDefault="00B13BD2" w:rsidP="00F36794">
            <w:pPr>
              <w:rPr>
                <w:b/>
                <w:bCs/>
              </w:rPr>
            </w:pPr>
            <w:r w:rsidRPr="006B2D48">
              <w:rPr>
                <w:b/>
                <w:bCs/>
              </w:rPr>
              <w:t>Case Note Topic</w:t>
            </w:r>
          </w:p>
        </w:tc>
        <w:tc>
          <w:tcPr>
            <w:tcW w:w="749" w:type="pct"/>
            <w:hideMark/>
          </w:tcPr>
          <w:p w14:paraId="0ED9F3E0" w14:textId="77777777" w:rsidR="00B13BD2" w:rsidRPr="006B2D48" w:rsidRDefault="00B13BD2" w:rsidP="00F36794">
            <w:pPr>
              <w:rPr>
                <w:rFonts w:ascii="Calibri" w:hAnsi="Calibri" w:cs="Calibri"/>
                <w:b/>
                <w:bCs/>
              </w:rPr>
            </w:pPr>
            <w:r w:rsidRPr="006B2D48">
              <w:rPr>
                <w:b/>
                <w:bCs/>
              </w:rPr>
              <w:t xml:space="preserve">Staff Use </w:t>
            </w:r>
          </w:p>
        </w:tc>
        <w:tc>
          <w:tcPr>
            <w:tcW w:w="2656" w:type="pct"/>
            <w:hideMark/>
          </w:tcPr>
          <w:p w14:paraId="5A6D9FC8" w14:textId="77777777" w:rsidR="00B13BD2" w:rsidRPr="006B2D48" w:rsidRDefault="00B13BD2" w:rsidP="00F36794">
            <w:pPr>
              <w:rPr>
                <w:b/>
                <w:bCs/>
              </w:rPr>
            </w:pPr>
            <w:r w:rsidRPr="006B2D48">
              <w:rPr>
                <w:b/>
                <w:bCs/>
              </w:rPr>
              <w:t>Documentation</w:t>
            </w:r>
          </w:p>
        </w:tc>
        <w:tc>
          <w:tcPr>
            <w:tcW w:w="553" w:type="pct"/>
            <w:hideMark/>
          </w:tcPr>
          <w:p w14:paraId="3A979978" w14:textId="77777777" w:rsidR="00B13BD2" w:rsidRPr="006B2D48" w:rsidRDefault="00B13BD2" w:rsidP="00F36794">
            <w:pPr>
              <w:rPr>
                <w:b/>
                <w:bCs/>
              </w:rPr>
            </w:pPr>
            <w:r w:rsidRPr="006B2D48">
              <w:rPr>
                <w:b/>
                <w:bCs/>
              </w:rPr>
              <w:t>VRSM Ref.</w:t>
            </w:r>
          </w:p>
        </w:tc>
      </w:tr>
      <w:tr w:rsidR="00B13BD2" w14:paraId="6161F3EE" w14:textId="77777777" w:rsidTr="00081E6C">
        <w:trPr>
          <w:trHeight w:val="20"/>
        </w:trPr>
        <w:tc>
          <w:tcPr>
            <w:tcW w:w="1042" w:type="pct"/>
            <w:hideMark/>
          </w:tcPr>
          <w:p w14:paraId="198C9CCC" w14:textId="77777777" w:rsidR="00B13BD2" w:rsidRDefault="00B13BD2" w:rsidP="00F36794">
            <w:r>
              <w:t>Counseling and guidance</w:t>
            </w:r>
          </w:p>
        </w:tc>
        <w:tc>
          <w:tcPr>
            <w:tcW w:w="749" w:type="pct"/>
            <w:hideMark/>
          </w:tcPr>
          <w:p w14:paraId="4267F9D4" w14:textId="77777777" w:rsidR="00B13BD2" w:rsidRDefault="00B13BD2" w:rsidP="00F36794">
            <w:pPr>
              <w:rPr>
                <w:rFonts w:ascii="Calibri" w:hAnsi="Calibri" w:cs="Calibri"/>
              </w:rPr>
            </w:pPr>
            <w:r>
              <w:t>VR counselor use only</w:t>
            </w:r>
          </w:p>
        </w:tc>
        <w:tc>
          <w:tcPr>
            <w:tcW w:w="2656" w:type="pct"/>
            <w:hideMark/>
          </w:tcPr>
          <w:p w14:paraId="29E80AF1" w14:textId="77777777" w:rsidR="00B13BD2" w:rsidRPr="00F36794" w:rsidRDefault="00B13BD2" w:rsidP="00F36794">
            <w:r w:rsidRPr="00F36794">
              <w:t xml:space="preserve">A case </w:t>
            </w:r>
            <w:proofErr w:type="gramStart"/>
            <w:r w:rsidRPr="00F36794">
              <w:t>note</w:t>
            </w:r>
            <w:proofErr w:type="gramEnd"/>
            <w:r w:rsidRPr="00F36794">
              <w:t xml:space="preserve"> or series of case notes entered by the VR counselor that reflects the skillful application of counseling strategies and interventions. These case notes must include the:</w:t>
            </w:r>
          </w:p>
          <w:p w14:paraId="45F8799F" w14:textId="77777777" w:rsidR="00B13BD2" w:rsidRPr="00F36794" w:rsidRDefault="00B13BD2" w:rsidP="00F36794">
            <w:pPr>
              <w:pStyle w:val="ListParagraph"/>
              <w:numPr>
                <w:ilvl w:val="0"/>
                <w:numId w:val="5"/>
              </w:numPr>
              <w:rPr>
                <w:lang w:val="en"/>
              </w:rPr>
            </w:pPr>
            <w:r w:rsidRPr="00F36794">
              <w:rPr>
                <w:b/>
                <w:bCs/>
                <w:lang w:val="en"/>
              </w:rPr>
              <w:t>issue</w:t>
            </w:r>
            <w:r w:rsidRPr="00F36794">
              <w:rPr>
                <w:lang w:val="en"/>
              </w:rPr>
              <w:t xml:space="preserve"> addressed through C&amp;G that are related to the impediments to employment, IPE, and/or participation in VR services; </w:t>
            </w:r>
          </w:p>
          <w:p w14:paraId="685E99D5" w14:textId="77777777" w:rsidR="00B13BD2" w:rsidRPr="00F36794" w:rsidRDefault="00B13BD2" w:rsidP="00F36794">
            <w:pPr>
              <w:pStyle w:val="ListParagraph"/>
              <w:numPr>
                <w:ilvl w:val="0"/>
                <w:numId w:val="5"/>
              </w:numPr>
              <w:rPr>
                <w:lang w:val="en"/>
              </w:rPr>
            </w:pPr>
            <w:r w:rsidRPr="00F36794">
              <w:rPr>
                <w:b/>
                <w:bCs/>
                <w:lang w:val="en"/>
              </w:rPr>
              <w:t>strategies</w:t>
            </w:r>
            <w:r w:rsidRPr="00F36794">
              <w:rPr>
                <w:lang w:val="en"/>
              </w:rPr>
              <w:t xml:space="preserve"> for resolution of the issue to include description of decision-making processes involved; </w:t>
            </w:r>
          </w:p>
          <w:p w14:paraId="10406EC0" w14:textId="77777777" w:rsidR="00B13BD2" w:rsidRPr="00F36794" w:rsidRDefault="00B13BD2" w:rsidP="00F36794">
            <w:pPr>
              <w:pStyle w:val="ListParagraph"/>
              <w:numPr>
                <w:ilvl w:val="0"/>
                <w:numId w:val="5"/>
              </w:numPr>
              <w:rPr>
                <w:lang w:val="en"/>
              </w:rPr>
            </w:pPr>
            <w:r w:rsidRPr="00F36794">
              <w:rPr>
                <w:b/>
                <w:lang w:val="en"/>
              </w:rPr>
              <w:t>customer’s participation</w:t>
            </w:r>
            <w:r w:rsidRPr="00F36794">
              <w:rPr>
                <w:lang w:val="en"/>
              </w:rPr>
              <w:t xml:space="preserve"> in the resolution; </w:t>
            </w:r>
          </w:p>
          <w:p w14:paraId="12E58495" w14:textId="77777777" w:rsidR="00B13BD2" w:rsidRPr="00F36794" w:rsidRDefault="00B13BD2" w:rsidP="00F36794">
            <w:pPr>
              <w:pStyle w:val="ListParagraph"/>
              <w:numPr>
                <w:ilvl w:val="0"/>
                <w:numId w:val="5"/>
              </w:numPr>
              <w:rPr>
                <w:lang w:val="en"/>
              </w:rPr>
            </w:pPr>
            <w:r w:rsidRPr="00F36794">
              <w:rPr>
                <w:b/>
                <w:lang w:val="en"/>
              </w:rPr>
              <w:t>customer’s reaction</w:t>
            </w:r>
            <w:r w:rsidRPr="00F36794">
              <w:rPr>
                <w:lang w:val="en"/>
              </w:rPr>
              <w:t xml:space="preserve">; and </w:t>
            </w:r>
          </w:p>
          <w:p w14:paraId="0A1C10E3" w14:textId="77777777" w:rsidR="00B13BD2" w:rsidRPr="00F36794" w:rsidRDefault="00B13BD2" w:rsidP="00F36794">
            <w:pPr>
              <w:pStyle w:val="ListParagraph"/>
              <w:numPr>
                <w:ilvl w:val="0"/>
                <w:numId w:val="5"/>
              </w:numPr>
              <w:rPr>
                <w:lang w:val="en"/>
              </w:rPr>
            </w:pPr>
            <w:r w:rsidRPr="00F36794">
              <w:rPr>
                <w:b/>
                <w:bCs/>
                <w:lang w:val="en"/>
              </w:rPr>
              <w:t>actions required</w:t>
            </w:r>
            <w:r w:rsidRPr="00F36794">
              <w:rPr>
                <w:lang w:val="en"/>
              </w:rPr>
              <w:t xml:space="preserve"> of the customer or counselor. </w:t>
            </w:r>
          </w:p>
          <w:p w14:paraId="71C09640" w14:textId="77777777" w:rsidR="00697109" w:rsidRPr="00F36794" w:rsidRDefault="00697109" w:rsidP="00697109">
            <w:pPr>
              <w:spacing w:before="240"/>
              <w:rPr>
                <w:ins w:id="4" w:author="Author"/>
                <w:b/>
                <w:bCs/>
                <w:color w:val="002060"/>
                <w:sz w:val="22"/>
                <w:szCs w:val="22"/>
              </w:rPr>
            </w:pPr>
            <w:ins w:id="5" w:author="Author">
              <w:r w:rsidRPr="00F36794">
                <w:rPr>
                  <w:b/>
                  <w:bCs/>
                  <w:color w:val="002060"/>
                </w:rPr>
                <w:t xml:space="preserve">REQUIREMENT: </w:t>
              </w:r>
              <w:r w:rsidRPr="00F36794">
                <w:rPr>
                  <w:color w:val="002060"/>
                </w:rPr>
                <w:t xml:space="preserve">C&amp;G must be provided on the same day the IPE is completed and documented </w:t>
              </w:r>
              <w:r>
                <w:rPr>
                  <w:color w:val="002060"/>
                </w:rPr>
                <w:t xml:space="preserve">in RHW </w:t>
              </w:r>
              <w:r w:rsidRPr="00F36794">
                <w:rPr>
                  <w:color w:val="002060"/>
                </w:rPr>
                <w:t xml:space="preserve">within 7 </w:t>
              </w:r>
              <w:r>
                <w:rPr>
                  <w:color w:val="002060"/>
                </w:rPr>
                <w:t xml:space="preserve">calendar </w:t>
              </w:r>
              <w:r w:rsidRPr="00F36794">
                <w:rPr>
                  <w:color w:val="002060"/>
                </w:rPr>
                <w:t>days of the completion of the IPE as a C&amp;G case note with the add to topic of “IPE Implemented”.</w:t>
              </w:r>
            </w:ins>
          </w:p>
          <w:p w14:paraId="32B4374A" w14:textId="77777777" w:rsidR="00B13BD2" w:rsidRDefault="00B13BD2" w:rsidP="00F36794">
            <w:r w:rsidRPr="00F36794">
              <w:rPr>
                <w:b/>
                <w:bCs/>
              </w:rPr>
              <w:t>TIP</w:t>
            </w:r>
            <w:r w:rsidRPr="00F36794">
              <w:t xml:space="preserve">: As with other case notes, the writing style and format of a C&amp;G case note can be individualized by the VR counselor if the required content is </w:t>
            </w:r>
            <w:r w:rsidRPr="00F36794">
              <w:t>included.</w:t>
            </w:r>
          </w:p>
          <w:p w14:paraId="641C5AD2" w14:textId="77777777" w:rsidR="00B13BD2" w:rsidRDefault="00B13BD2" w:rsidP="00F36794">
            <w:r w:rsidRPr="00F36794">
              <w:rPr>
                <w:b/>
                <w:bCs/>
              </w:rPr>
              <w:t>TIP</w:t>
            </w:r>
            <w:r w:rsidRPr="00F36794">
              <w:t xml:space="preserve">: C&amp;G frequency is </w:t>
            </w:r>
            <w:r w:rsidRPr="00F36794">
              <w:rPr>
                <w:b/>
                <w:bCs/>
              </w:rPr>
              <w:t>not</w:t>
            </w:r>
            <w:r w:rsidRPr="00F36794">
              <w:t xml:space="preserve"> the same as basic frequency of contact or “FOC” on the IPE. C&amp;G must be completed by a counselor; FOC can be maintained by any VR staff. FOC is evaluated in the IPE services section of a Compliance and Quality Case Review. However, C&amp;G does </w:t>
            </w:r>
            <w:r w:rsidRPr="00F36794">
              <w:lastRenderedPageBreak/>
              <w:t xml:space="preserve">count as a contact for the purpose of tracking FOC. </w:t>
            </w:r>
          </w:p>
          <w:p w14:paraId="3D6553A7" w14:textId="77777777" w:rsidR="00B13BD2" w:rsidRPr="00F36794" w:rsidRDefault="00B13BD2" w:rsidP="00F36794">
            <w:r w:rsidRPr="00F36794">
              <w:rPr>
                <w:b/>
                <w:bCs/>
              </w:rPr>
              <w:t>TIP</w:t>
            </w:r>
            <w:r w:rsidRPr="00F36794">
              <w:t xml:space="preserve">: When counseling and guidance is provided during the completion of the joint annual review or when completing an IPE amendment, the compliance and quality criteria for counseling and guidance must also be met and clearly documented for this to count as a counseling and guidance case note for the purpose of a case review. </w:t>
            </w:r>
          </w:p>
        </w:tc>
        <w:tc>
          <w:tcPr>
            <w:tcW w:w="553" w:type="pct"/>
            <w:hideMark/>
          </w:tcPr>
          <w:p w14:paraId="7346FA64" w14:textId="77777777" w:rsidR="00697109" w:rsidRDefault="00B13BD2" w:rsidP="00F36794">
            <w:pPr>
              <w:rPr>
                <w:ins w:id="6" w:author="Author"/>
              </w:rPr>
            </w:pPr>
            <w:del w:id="7" w:author="Author">
              <w:r w:rsidDel="00697109">
                <w:lastRenderedPageBreak/>
                <w:delText>C-100</w:delText>
              </w:r>
            </w:del>
          </w:p>
          <w:p w14:paraId="0500CE89" w14:textId="77777777" w:rsidR="00697109" w:rsidRDefault="00697109" w:rsidP="00F36794">
            <w:pPr>
              <w:rPr>
                <w:ins w:id="8" w:author="Author"/>
              </w:rPr>
            </w:pPr>
            <w:ins w:id="9" w:author="Author">
              <w:r>
                <w:t>B-504-12</w:t>
              </w:r>
            </w:ins>
          </w:p>
          <w:p w14:paraId="18E9EE26" w14:textId="315FB57A" w:rsidR="00697109" w:rsidRDefault="00697109" w:rsidP="00F36794">
            <w:ins w:id="10" w:author="Author">
              <w:r>
                <w:t>C-102</w:t>
              </w:r>
            </w:ins>
          </w:p>
        </w:tc>
      </w:tr>
    </w:tbl>
    <w:p w14:paraId="45C3F66F" w14:textId="77777777" w:rsidR="00A00EE9" w:rsidRDefault="00A00EE9" w:rsidP="006B2D48">
      <w:bookmarkStart w:id="11" w:name="_GoBack"/>
      <w:bookmarkEnd w:id="11"/>
    </w:p>
    <w:sectPr w:rsidR="00A00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3B09" w14:textId="77777777" w:rsidR="001E555D" w:rsidRDefault="001E555D" w:rsidP="00697109">
      <w:r>
        <w:separator/>
      </w:r>
    </w:p>
  </w:endnote>
  <w:endnote w:type="continuationSeparator" w:id="0">
    <w:p w14:paraId="0DBD817C" w14:textId="77777777" w:rsidR="001E555D" w:rsidRDefault="001E555D" w:rsidP="0069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A41DD" w14:textId="77777777" w:rsidR="001E555D" w:rsidRDefault="001E555D" w:rsidP="00697109">
      <w:r>
        <w:separator/>
      </w:r>
    </w:p>
  </w:footnote>
  <w:footnote w:type="continuationSeparator" w:id="0">
    <w:p w14:paraId="6315C369" w14:textId="77777777" w:rsidR="001E555D" w:rsidRDefault="001E555D" w:rsidP="0069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D2"/>
    <w:rsid w:val="00003A3F"/>
    <w:rsid w:val="000133C5"/>
    <w:rsid w:val="0007321B"/>
    <w:rsid w:val="00081E6C"/>
    <w:rsid w:val="000C65A2"/>
    <w:rsid w:val="000D38FD"/>
    <w:rsid w:val="00156C9C"/>
    <w:rsid w:val="001E0ACC"/>
    <w:rsid w:val="001E555D"/>
    <w:rsid w:val="001F3E0C"/>
    <w:rsid w:val="0020017E"/>
    <w:rsid w:val="002A37A8"/>
    <w:rsid w:val="002D19E7"/>
    <w:rsid w:val="00387BCE"/>
    <w:rsid w:val="003A645B"/>
    <w:rsid w:val="00427101"/>
    <w:rsid w:val="00517D58"/>
    <w:rsid w:val="00585921"/>
    <w:rsid w:val="00693824"/>
    <w:rsid w:val="00697109"/>
    <w:rsid w:val="006B2D48"/>
    <w:rsid w:val="006F6823"/>
    <w:rsid w:val="007A3497"/>
    <w:rsid w:val="007F2B36"/>
    <w:rsid w:val="008636FC"/>
    <w:rsid w:val="008F15DD"/>
    <w:rsid w:val="00950A84"/>
    <w:rsid w:val="00982ED8"/>
    <w:rsid w:val="009A017A"/>
    <w:rsid w:val="009A7AEF"/>
    <w:rsid w:val="009E3376"/>
    <w:rsid w:val="00A00EE9"/>
    <w:rsid w:val="00A04AF7"/>
    <w:rsid w:val="00A57983"/>
    <w:rsid w:val="00A828AC"/>
    <w:rsid w:val="00AC1A82"/>
    <w:rsid w:val="00AD1D70"/>
    <w:rsid w:val="00B13BD2"/>
    <w:rsid w:val="00B27850"/>
    <w:rsid w:val="00BE380D"/>
    <w:rsid w:val="00C47A40"/>
    <w:rsid w:val="00C82087"/>
    <w:rsid w:val="00CA08C6"/>
    <w:rsid w:val="00D73F5B"/>
    <w:rsid w:val="00E94A11"/>
    <w:rsid w:val="00EB4570"/>
    <w:rsid w:val="00EB66DF"/>
    <w:rsid w:val="00EC3B53"/>
    <w:rsid w:val="00F36794"/>
    <w:rsid w:val="00F9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DA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D48"/>
    <w:pPr>
      <w:spacing w:before="100" w:beforeAutospacing="1" w:after="100" w:afterAutospacing="1" w:line="240" w:lineRule="auto"/>
    </w:pPr>
    <w:rPr>
      <w:rFonts w:eastAsiaTheme="minorHAnsi"/>
      <w:sz w:val="24"/>
      <w:szCs w:val="24"/>
    </w:rPr>
  </w:style>
  <w:style w:type="paragraph" w:styleId="Heading1">
    <w:name w:val="heading 1"/>
    <w:basedOn w:val="Normal"/>
    <w:link w:val="Heading1Char"/>
    <w:autoRedefine/>
    <w:uiPriority w:val="9"/>
    <w:qFormat/>
    <w:rsid w:val="00950A84"/>
    <w:pPr>
      <w:spacing w:after="440" w:line="300" w:lineRule="auto"/>
      <w:outlineLvl w:val="0"/>
    </w:pPr>
    <w:rPr>
      <w:rFonts w:cs="Times New Roman"/>
      <w:b/>
      <w:bCs/>
      <w:kern w:val="36"/>
      <w:sz w:val="36"/>
      <w:szCs w:val="48"/>
    </w:rPr>
  </w:style>
  <w:style w:type="paragraph" w:styleId="Heading2">
    <w:name w:val="heading 2"/>
    <w:basedOn w:val="Normal"/>
    <w:next w:val="Normal"/>
    <w:link w:val="Heading2Char"/>
    <w:autoRedefine/>
    <w:uiPriority w:val="9"/>
    <w:unhideWhenUsed/>
    <w:qFormat/>
    <w:rsid w:val="00693824"/>
    <w:pPr>
      <w:keepNext/>
      <w:keepLines/>
      <w:spacing w:before="40" w:line="259"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after="120"/>
      <w:outlineLvl w:val="4"/>
    </w:p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84"/>
    <w:rPr>
      <w:rFonts w:cs="Times New Roman"/>
      <w:b/>
      <w:bCs/>
      <w:kern w:val="36"/>
      <w:sz w:val="36"/>
      <w:szCs w:val="48"/>
    </w:rPr>
  </w:style>
  <w:style w:type="character" w:customStyle="1" w:styleId="Heading2Char">
    <w:name w:val="Heading 2 Char"/>
    <w:basedOn w:val="DefaultParagraphFont"/>
    <w:link w:val="Heading2"/>
    <w:uiPriority w:val="9"/>
    <w:rsid w:val="00693824"/>
    <w:rPr>
      <w:rFonts w:eastAsiaTheme="majorEastAsia" w:cstheme="majorBidi"/>
      <w:b/>
      <w:sz w:val="32"/>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semiHidden/>
    <w:unhideWhenUsed/>
    <w:rsid w:val="00B13BD2"/>
    <w:rPr>
      <w:color w:val="0563C1"/>
      <w:u w:val="single"/>
    </w:rPr>
  </w:style>
  <w:style w:type="paragraph" w:styleId="Header">
    <w:name w:val="header"/>
    <w:basedOn w:val="Normal"/>
    <w:link w:val="HeaderChar"/>
    <w:uiPriority w:val="99"/>
    <w:unhideWhenUsed/>
    <w:rsid w:val="00697109"/>
    <w:pPr>
      <w:tabs>
        <w:tab w:val="center" w:pos="4680"/>
        <w:tab w:val="right" w:pos="9360"/>
      </w:tabs>
    </w:pPr>
  </w:style>
  <w:style w:type="character" w:customStyle="1" w:styleId="HeaderChar">
    <w:name w:val="Header Char"/>
    <w:basedOn w:val="DefaultParagraphFont"/>
    <w:link w:val="Header"/>
    <w:uiPriority w:val="99"/>
    <w:rsid w:val="00697109"/>
    <w:rPr>
      <w:rFonts w:eastAsiaTheme="minorHAnsi"/>
      <w:sz w:val="24"/>
      <w:szCs w:val="24"/>
    </w:rPr>
  </w:style>
  <w:style w:type="paragraph" w:styleId="Footer">
    <w:name w:val="footer"/>
    <w:basedOn w:val="Normal"/>
    <w:link w:val="FooterChar"/>
    <w:uiPriority w:val="99"/>
    <w:unhideWhenUsed/>
    <w:rsid w:val="00697109"/>
    <w:pPr>
      <w:tabs>
        <w:tab w:val="center" w:pos="4680"/>
        <w:tab w:val="right" w:pos="9360"/>
      </w:tabs>
    </w:pPr>
  </w:style>
  <w:style w:type="character" w:customStyle="1" w:styleId="FooterChar">
    <w:name w:val="Footer Char"/>
    <w:basedOn w:val="DefaultParagraphFont"/>
    <w:link w:val="Footer"/>
    <w:uiPriority w:val="99"/>
    <w:rsid w:val="00697109"/>
    <w:rPr>
      <w:rFonts w:eastAsiaTheme="minorHAnsi"/>
      <w:sz w:val="24"/>
      <w:szCs w:val="24"/>
    </w:rPr>
  </w:style>
  <w:style w:type="table" w:styleId="TableGridLight">
    <w:name w:val="Grid Table Light"/>
    <w:basedOn w:val="TableNormal"/>
    <w:uiPriority w:val="40"/>
    <w:rsid w:val="00081E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65186">
      <w:bodyDiv w:val="1"/>
      <w:marLeft w:val="0"/>
      <w:marRight w:val="0"/>
      <w:marTop w:val="0"/>
      <w:marBottom w:val="0"/>
      <w:divBdr>
        <w:top w:val="none" w:sz="0" w:space="0" w:color="auto"/>
        <w:left w:val="none" w:sz="0" w:space="0" w:color="auto"/>
        <w:bottom w:val="none" w:sz="0" w:space="0" w:color="auto"/>
        <w:right w:val="none" w:sz="0" w:space="0" w:color="auto"/>
      </w:divBdr>
    </w:div>
    <w:div w:id="1951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FDBDC9E3-8A74-44B8-B738-66876F6EFF9A}">
  <ds:schemaRefs>
    <ds:schemaRef ds:uri="http://schemas.microsoft.com/sharepoint/v3/contenttype/forms"/>
  </ds:schemaRefs>
</ds:datastoreItem>
</file>

<file path=customXml/itemProps2.xml><?xml version="1.0" encoding="utf-8"?>
<ds:datastoreItem xmlns:ds="http://schemas.openxmlformats.org/officeDocument/2006/customXml" ds:itemID="{5AF0CE4F-02AC-4C66-89E0-2EF804D8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6652C-0EF7-43D2-B57C-014C249D562F}">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Notes Requirements revised February 3, 2020</dc:title>
  <dc:subject/>
  <dc:creator/>
  <cp:keywords/>
  <dc:description>Updated to require C&amp;G case note at time of IPE completion. </dc:description>
  <cp:lastModifiedBy/>
  <cp:revision>1</cp:revision>
  <dcterms:created xsi:type="dcterms:W3CDTF">2020-01-23T19:34:00Z</dcterms:created>
  <dcterms:modified xsi:type="dcterms:W3CDTF">2020-01-30T16:26:00Z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